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Trosa kommunfullmäktige</w:t>
      </w:r>
    </w:p>
    <w:p>
      <w:pPr>
        <w:pStyle w:val="Heading1"/>
      </w:pPr>
      <w:r>
        <w:t xml:space="preserve">Installera trygghetskameror i Trosa centrum och Vagnhärad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Trosa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Anmälda brott har ökat med 8 % de senaste två åren enligt Brå 2024. Centrala Trosa och Vagnhärad rapporterar flest incidenter av skadegörelse och stölder. Kameror har visat sig minska brott med upp till 20 % i liknande kommuner. Moderaterna vill stärka den upplevda tryggheten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Trosa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Trosa kommunfullmäktige beslutar att installera trygghetskameror på strategiska platser i Trosa centrum och Vagnhärad.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utvärdering av kamerornas effekt genomförs efter 18 månader.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kameror kopplas till kommunens befintliga trygghetsarbete med polis.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kostnaden finansieras inom ramen för befintlig budget för brottsförebyggande åtgärder.</w:t>
      </w:r>
    </w:p>
    <w:p>
      <w:pPr>
        <w:spacing w:before="360"/>
      </w:pPr>
    </w:p>
    <w:p>
      <w:r>
        <w:t xml:space="preserve">Trosa,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Trosa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2026-06-06T01:48:32.171Z</dcterms:created>
  <dcterms:modified xsi:type="dcterms:W3CDTF">2026-06-06T01:48:32.171Z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